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B2CC" w14:textId="221513B6" w:rsidR="00D21DFA" w:rsidRPr="00E85F87" w:rsidRDefault="00D21DFA" w:rsidP="00D21DFA">
      <w:pPr>
        <w:pStyle w:val="berschrift2"/>
        <w:rPr>
          <w:rFonts w:ascii="Avenir Next" w:hAnsi="Avenir Next"/>
          <w:color w:val="000000" w:themeColor="text1"/>
          <w:sz w:val="24"/>
          <w:szCs w:val="24"/>
        </w:rPr>
      </w:pPr>
      <w:r w:rsidRPr="00E85F87">
        <w:rPr>
          <w:rStyle w:val="Fett"/>
          <w:rFonts w:ascii="Avenir Next" w:hAnsi="Avenir Next"/>
          <w:color w:val="000000" w:themeColor="text1"/>
          <w:sz w:val="24"/>
          <w:szCs w:val="24"/>
        </w:rPr>
        <w:t>PRESSE</w:t>
      </w:r>
      <w:r>
        <w:rPr>
          <w:rStyle w:val="Fett"/>
          <w:rFonts w:ascii="Avenir Next" w:hAnsi="Avenir Next"/>
          <w:color w:val="000000" w:themeColor="text1"/>
          <w:sz w:val="24"/>
          <w:szCs w:val="24"/>
        </w:rPr>
        <w:t>INFORMATION</w:t>
      </w:r>
    </w:p>
    <w:p w14:paraId="119F101B" w14:textId="77777777" w:rsidR="00D21DFA" w:rsidRPr="00E85F87" w:rsidRDefault="00D21DFA" w:rsidP="00D21DFA">
      <w:pPr>
        <w:pStyle w:val="berschrift3"/>
        <w:rPr>
          <w:rFonts w:ascii="Avenir Next" w:hAnsi="Avenir Next"/>
          <w:color w:val="000000" w:themeColor="text1"/>
          <w:sz w:val="32"/>
          <w:szCs w:val="32"/>
        </w:rPr>
      </w:pPr>
      <w:r w:rsidRPr="00E85F87">
        <w:rPr>
          <w:rStyle w:val="Fett"/>
          <w:rFonts w:ascii="Avenir Next" w:hAnsi="Avenir Next"/>
          <w:color w:val="000000" w:themeColor="text1"/>
          <w:sz w:val="32"/>
          <w:szCs w:val="32"/>
        </w:rPr>
        <w:t>PRAYMOBIL. Mittelalterliche Kunst in Bewegung</w:t>
      </w:r>
    </w:p>
    <w:p w14:paraId="1E39A70A" w14:textId="77777777" w:rsidR="00D21DFA" w:rsidRDefault="00D21DFA" w:rsidP="00D21DFA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29. November 2025 – 15. März 2026</w:t>
      </w:r>
    </w:p>
    <w:p w14:paraId="24C9EC32" w14:textId="77777777" w:rsidR="00D21DFA" w:rsidRDefault="00D21DFA" w:rsidP="00D21DFA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Suermondt-Ludwig-Museum, Aachen</w:t>
      </w:r>
    </w:p>
    <w:p w14:paraId="55225069" w14:textId="03AA87A4" w:rsidR="00D21DFA" w:rsidRPr="00D21DFA" w:rsidRDefault="00D21DFA" w:rsidP="00D21DFA">
      <w:pPr>
        <w:pStyle w:val="StandardWeb"/>
        <w:spacing w:before="0" w:beforeAutospacing="0" w:after="360" w:afterAutospacing="0"/>
        <w:rPr>
          <w:rStyle w:val="Fett"/>
          <w:rFonts w:ascii="Avenir Book" w:hAnsi="Avenir Book"/>
          <w:b w:val="0"/>
          <w:bCs w:val="0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www.suermondt-ludwig-museum.de</w:t>
      </w:r>
    </w:p>
    <w:p w14:paraId="395581DE" w14:textId="2018091D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t>Kurzfassung</w:t>
      </w:r>
    </w:p>
    <w:p w14:paraId="2063ED07" w14:textId="70B5A730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Mit der Ausstellung </w:t>
      </w:r>
      <w:r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»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PRAYMOBIL. Mittelalterliche Kunst in Bewegung</w:t>
      </w:r>
      <w:r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«</w:t>
      </w:r>
      <w:r w:rsidRPr="00D21DFA">
        <w:rPr>
          <w:rFonts w:ascii="Avenir" w:hAnsi="Avenir"/>
          <w:sz w:val="22"/>
          <w:szCs w:val="22"/>
        </w:rPr>
        <w:t xml:space="preserve"> zeigt das Suermondt-Ludwig-Museum Aachen erstmals weltweit eine umfassende Schau zu einem faszinierenden, bisher kaum erforschten Phänomen mittelalterlicher Kunst: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bewegliche Skulpturen</w:t>
      </w:r>
      <w:r w:rsidRPr="00D21DFA">
        <w:rPr>
          <w:rFonts w:ascii="Avenir" w:hAnsi="Avenir"/>
          <w:sz w:val="22"/>
          <w:szCs w:val="22"/>
        </w:rPr>
        <w:t xml:space="preserve">, die in Liturgie, religiösen Spielen und Volksglauben als scheinbar </w:t>
      </w:r>
      <w:r>
        <w:rPr>
          <w:rFonts w:ascii="Avenir" w:hAnsi="Avenir"/>
          <w:sz w:val="22"/>
          <w:szCs w:val="22"/>
        </w:rPr>
        <w:t>»</w:t>
      </w:r>
      <w:r w:rsidRPr="00D21DFA">
        <w:rPr>
          <w:rFonts w:ascii="Avenir" w:hAnsi="Avenir"/>
          <w:sz w:val="22"/>
          <w:szCs w:val="22"/>
        </w:rPr>
        <w:t>lebendige</w:t>
      </w:r>
      <w:r>
        <w:rPr>
          <w:rFonts w:ascii="Avenir" w:hAnsi="Avenir"/>
          <w:sz w:val="22"/>
          <w:szCs w:val="22"/>
        </w:rPr>
        <w:t xml:space="preserve">« </w:t>
      </w:r>
      <w:r w:rsidRPr="00D21DFA">
        <w:rPr>
          <w:rFonts w:ascii="Avenir" w:hAnsi="Avenir"/>
          <w:sz w:val="22"/>
          <w:szCs w:val="22"/>
        </w:rPr>
        <w:t>Figuren eingesetzt wurden.</w:t>
      </w:r>
    </w:p>
    <w:p w14:paraId="3488F50B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Rund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80 außergewöhnliche Objekte aus acht Ländern</w:t>
      </w:r>
      <w:r w:rsidRPr="00D21DFA">
        <w:rPr>
          <w:rFonts w:ascii="Avenir" w:hAnsi="Avenir"/>
          <w:sz w:val="22"/>
          <w:szCs w:val="22"/>
        </w:rPr>
        <w:t xml:space="preserve"> machen sichtbar, wie mittelalterliche Künstler Bewegung, Mechanik und Glaubenserfahrung miteinander verbanden – und wie lebendig diese Werke noch heute wirken.</w:t>
      </w:r>
    </w:p>
    <w:p w14:paraId="052D7620" w14:textId="77777777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t>Ein neues Kapitel mittelalterlicher Kunst</w:t>
      </w:r>
    </w:p>
    <w:p w14:paraId="3C1955E8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>Was rollt, was schwenkt – und warum fließt Blut aus der Seite Christi? Gab es im Mittelalter tatsächlich schon Roboter-Löwen?</w:t>
      </w:r>
    </w:p>
    <w:p w14:paraId="33018C89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Die Ausstellung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sz w:val="22"/>
          <w:szCs w:val="22"/>
        </w:rPr>
        <w:t xml:space="preserve"> widmet sich erstmals den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beweglichen Skulpturen des Mittelalters</w:t>
      </w:r>
      <w:r w:rsidRPr="00D21DFA">
        <w:rPr>
          <w:rFonts w:ascii="Avenir" w:hAnsi="Avenir"/>
          <w:sz w:val="22"/>
          <w:szCs w:val="22"/>
        </w:rPr>
        <w:t xml:space="preserve">, die Gläubige in Prozessionen, Andachten und religiösen Spielen in Staunen versetzten. Ob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Christus auf einem fahrbaren Palmesel</w:t>
      </w:r>
      <w:r w:rsidRPr="00D21DFA">
        <w:rPr>
          <w:rFonts w:ascii="Avenir" w:hAnsi="Avenir"/>
          <w:sz w:val="22"/>
          <w:szCs w:val="22"/>
        </w:rPr>
        <w:t xml:space="preserve">, ein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Kruzifix mit beweglichen Armen</w:t>
      </w:r>
      <w:r w:rsidRPr="00D21DFA">
        <w:rPr>
          <w:rFonts w:ascii="Avenir" w:hAnsi="Avenir"/>
          <w:sz w:val="22"/>
          <w:szCs w:val="22"/>
        </w:rPr>
        <w:t xml:space="preserve"> oder ein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Christkind, das „geboren“ werden konnte</w:t>
      </w:r>
      <w:r w:rsidRPr="00D21DFA">
        <w:rPr>
          <w:rFonts w:ascii="Avenir" w:hAnsi="Avenir"/>
          <w:sz w:val="22"/>
          <w:szCs w:val="22"/>
        </w:rPr>
        <w:t xml:space="preserve"> – diese Werke erzeugten mit einfachen Mitteln verblüffende Illusionen von Lebendigkeit.</w:t>
      </w:r>
    </w:p>
    <w:p w14:paraId="5D7922C8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Kuratiert wurde die Schau von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Dipl.-Restaurator Michael Rief</w:t>
      </w:r>
      <w:r w:rsidRPr="00D21DFA">
        <w:rPr>
          <w:rFonts w:ascii="Avenir" w:hAnsi="Avenir"/>
          <w:sz w:val="22"/>
          <w:szCs w:val="22"/>
        </w:rPr>
        <w:t xml:space="preserve"> (stellv. Direktor und Sammlungsleiter), unterstützt von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Dr. Dagmar Preising</w:t>
      </w:r>
      <w:r w:rsidRPr="00D21DFA">
        <w:rPr>
          <w:rFonts w:ascii="Avenir" w:hAnsi="Avenir"/>
          <w:sz w:val="22"/>
          <w:szCs w:val="22"/>
        </w:rPr>
        <w:t xml:space="preserve"> und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 xml:space="preserve">Maria </w:t>
      </w:r>
      <w:proofErr w:type="spellStart"/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Geuchen</w:t>
      </w:r>
      <w:proofErr w:type="spellEnd"/>
      <w:r w:rsidRPr="00D21DFA">
        <w:rPr>
          <w:rFonts w:ascii="Avenir" w:hAnsi="Avenir"/>
          <w:sz w:val="22"/>
          <w:szCs w:val="22"/>
        </w:rPr>
        <w:t>.</w:t>
      </w:r>
    </w:p>
    <w:p w14:paraId="0B3849A5" w14:textId="187E80FA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>
        <w:rPr>
          <w:rFonts w:ascii="Avenir" w:hAnsi="Avenir"/>
          <w:i/>
          <w:iCs/>
          <w:sz w:val="22"/>
          <w:szCs w:val="22"/>
        </w:rPr>
        <w:t>»</w:t>
      </w:r>
      <w:r w:rsidRPr="00D21DFA">
        <w:rPr>
          <w:rFonts w:ascii="Avenir" w:hAnsi="Avenir"/>
          <w:i/>
          <w:iCs/>
          <w:sz w:val="22"/>
          <w:szCs w:val="22"/>
        </w:rPr>
        <w:t>Uns war wichtig zu zeigen, dass diese beweglichen Figuren weit mehr waren als bloße Kuriositäten</w:t>
      </w:r>
      <w:r>
        <w:rPr>
          <w:rFonts w:ascii="Avenir" w:hAnsi="Avenir"/>
          <w:i/>
          <w:iCs/>
          <w:sz w:val="22"/>
          <w:szCs w:val="22"/>
        </w:rPr>
        <w:t>«</w:t>
      </w:r>
      <w:r w:rsidRPr="00D21DFA">
        <w:rPr>
          <w:rFonts w:ascii="Avenir" w:hAnsi="Avenir"/>
          <w:i/>
          <w:iCs/>
          <w:sz w:val="22"/>
          <w:szCs w:val="22"/>
        </w:rPr>
        <w:t>,</w:t>
      </w:r>
      <w:r w:rsidRPr="00D21DFA">
        <w:rPr>
          <w:rFonts w:ascii="Avenir" w:hAnsi="Avenir"/>
          <w:sz w:val="22"/>
          <w:szCs w:val="22"/>
        </w:rPr>
        <w:t xml:space="preserve"> betont </w:t>
      </w:r>
      <w:proofErr w:type="gramStart"/>
      <w:r w:rsidRPr="00D21DFA">
        <w:rPr>
          <w:rFonts w:ascii="Avenir" w:hAnsi="Avenir"/>
          <w:sz w:val="22"/>
          <w:szCs w:val="22"/>
        </w:rPr>
        <w:t>Rief</w:t>
      </w:r>
      <w:proofErr w:type="gramEnd"/>
      <w:r w:rsidRPr="00D21DFA">
        <w:rPr>
          <w:rFonts w:ascii="Avenir" w:hAnsi="Avenir"/>
          <w:sz w:val="22"/>
          <w:szCs w:val="22"/>
        </w:rPr>
        <w:t xml:space="preserve">. </w:t>
      </w:r>
      <w:r>
        <w:rPr>
          <w:rFonts w:ascii="Avenir" w:hAnsi="Avenir"/>
          <w:i/>
          <w:iCs/>
          <w:sz w:val="22"/>
          <w:szCs w:val="22"/>
        </w:rPr>
        <w:t>»</w:t>
      </w:r>
      <w:r w:rsidRPr="00D21DFA">
        <w:rPr>
          <w:rFonts w:ascii="Avenir" w:hAnsi="Avenir"/>
          <w:i/>
          <w:iCs/>
          <w:sz w:val="22"/>
          <w:szCs w:val="22"/>
        </w:rPr>
        <w:t>Sie besaßen eine unmittelbare spirituelle, emotionale und performative Kraft, die Gläubige tief bewegte – und wir sind gespannt, wie sie heute auf ein modernes Publikum wirken.</w:t>
      </w:r>
      <w:r>
        <w:rPr>
          <w:rFonts w:ascii="Avenir" w:hAnsi="Avenir"/>
          <w:i/>
          <w:iCs/>
          <w:sz w:val="22"/>
          <w:szCs w:val="22"/>
        </w:rPr>
        <w:t>«</w:t>
      </w:r>
    </w:p>
    <w:p w14:paraId="096E0381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>Auch die technischen Aspekte sind bemerkenswert:</w:t>
      </w:r>
    </w:p>
    <w:p w14:paraId="5C89270E" w14:textId="26B9C4BA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i/>
          <w:iCs/>
          <w:sz w:val="22"/>
          <w:szCs w:val="22"/>
        </w:rPr>
        <w:t>»Die Lösungen, die mittelalterliche Werkstätten für Bewegung fanden, sind oft erstaunlich raffiniert – Seilzüge und Scharniere funktionieren bis heute«,</w:t>
      </w:r>
      <w:r w:rsidRPr="00D21DFA">
        <w:rPr>
          <w:rFonts w:ascii="Avenir" w:hAnsi="Avenir"/>
          <w:sz w:val="22"/>
          <w:szCs w:val="22"/>
        </w:rPr>
        <w:t xml:space="preserve"> so </w:t>
      </w:r>
      <w:proofErr w:type="gramStart"/>
      <w:r w:rsidRPr="00D21DFA">
        <w:rPr>
          <w:rFonts w:ascii="Avenir" w:hAnsi="Avenir"/>
          <w:sz w:val="22"/>
          <w:szCs w:val="22"/>
        </w:rPr>
        <w:t>Rief</w:t>
      </w:r>
      <w:proofErr w:type="gramEnd"/>
      <w:r w:rsidRPr="00D21DFA">
        <w:rPr>
          <w:rFonts w:ascii="Avenir" w:hAnsi="Avenir"/>
          <w:sz w:val="22"/>
          <w:szCs w:val="22"/>
        </w:rPr>
        <w:t>.</w:t>
      </w:r>
    </w:p>
    <w:p w14:paraId="2CDEFDEC" w14:textId="556A98CA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lastRenderedPageBreak/>
        <w:t xml:space="preserve">Gleichzeitig enthüllt die Ausstellung, dass nicht alle </w:t>
      </w:r>
      <w:r>
        <w:rPr>
          <w:rFonts w:ascii="Avenir" w:hAnsi="Avenir"/>
          <w:sz w:val="22"/>
          <w:szCs w:val="22"/>
        </w:rPr>
        <w:t>»</w:t>
      </w:r>
      <w:r w:rsidRPr="00D21DFA">
        <w:rPr>
          <w:rFonts w:ascii="Avenir" w:hAnsi="Avenir"/>
          <w:sz w:val="22"/>
          <w:szCs w:val="22"/>
        </w:rPr>
        <w:t>Wunder</w:t>
      </w:r>
      <w:r>
        <w:rPr>
          <w:rFonts w:ascii="Avenir" w:hAnsi="Avenir"/>
          <w:sz w:val="22"/>
          <w:szCs w:val="22"/>
        </w:rPr>
        <w:t>«</w:t>
      </w:r>
      <w:r w:rsidRPr="00D21DFA">
        <w:rPr>
          <w:rFonts w:ascii="Avenir" w:hAnsi="Avenir"/>
          <w:sz w:val="22"/>
          <w:szCs w:val="22"/>
        </w:rPr>
        <w:t xml:space="preserve"> echt waren: Tränen oder Blut konnten auch inszeniert sein – mitunter ein einträgliches Geschäft.</w:t>
      </w:r>
    </w:p>
    <w:p w14:paraId="01C01530" w14:textId="77777777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t>Perspektivwechsel: Jenseits von Pracht und Prunk</w:t>
      </w:r>
    </w:p>
    <w:p w14:paraId="40F98CBB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sz w:val="22"/>
          <w:szCs w:val="22"/>
        </w:rPr>
        <w:t xml:space="preserve"> rückt gezielt Objekte in den Mittelpunkt, die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außerhalb höfischer oder kirchlicher Kunst</w:t>
      </w:r>
      <w:r w:rsidRPr="00D21DFA">
        <w:rPr>
          <w:rFonts w:ascii="Avenir" w:hAnsi="Avenir"/>
          <w:sz w:val="22"/>
          <w:szCs w:val="22"/>
        </w:rPr>
        <w:t xml:space="preserve"> entstanden und im religiösen Alltag der Bevölkerung beliebt waren.</w:t>
      </w:r>
    </w:p>
    <w:p w14:paraId="4098C7EA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Museumsdirektor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Till-Holger Borchert</w:t>
      </w:r>
      <w:r w:rsidRPr="00D21DFA">
        <w:rPr>
          <w:rFonts w:ascii="Avenir" w:hAnsi="Avenir"/>
          <w:sz w:val="22"/>
          <w:szCs w:val="22"/>
        </w:rPr>
        <w:t xml:space="preserve"> erklärt:</w:t>
      </w:r>
    </w:p>
    <w:p w14:paraId="403A2EA7" w14:textId="4FB56B4A" w:rsidR="00D21DFA" w:rsidRPr="00D21DFA" w:rsidRDefault="00D21DFA" w:rsidP="00D21DFA">
      <w:pPr>
        <w:pStyle w:val="StandardWeb"/>
        <w:rPr>
          <w:rFonts w:ascii="Avenir" w:hAnsi="Avenir"/>
          <w:i/>
          <w:iCs/>
          <w:sz w:val="22"/>
          <w:szCs w:val="22"/>
        </w:rPr>
      </w:pPr>
      <w:r w:rsidRPr="00D21DFA">
        <w:rPr>
          <w:rFonts w:ascii="Avenir" w:hAnsi="Avenir"/>
          <w:i/>
          <w:iCs/>
          <w:sz w:val="22"/>
          <w:szCs w:val="22"/>
        </w:rPr>
        <w:t xml:space="preserve">»Der Titel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i/>
          <w:iCs/>
          <w:sz w:val="22"/>
          <w:szCs w:val="22"/>
        </w:rPr>
        <w:t xml:space="preserve"> spielt bewusst mit der Doppeldeutigkeit von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Gebet (</w:t>
      </w:r>
      <w:proofErr w:type="spellStart"/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</w:t>
      </w:r>
      <w:proofErr w:type="spellEnd"/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)</w:t>
      </w:r>
      <w:r w:rsidRPr="00D21DFA">
        <w:rPr>
          <w:rFonts w:ascii="Avenir" w:hAnsi="Avenir"/>
          <w:i/>
          <w:iCs/>
          <w:sz w:val="22"/>
          <w:szCs w:val="22"/>
        </w:rPr>
        <w:t xml:space="preserve"> und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Bewegung (mobil)</w:t>
      </w:r>
      <w:r w:rsidRPr="00D21DFA">
        <w:rPr>
          <w:rFonts w:ascii="Avenir" w:hAnsi="Avenir"/>
          <w:i/>
          <w:iCs/>
          <w:sz w:val="22"/>
          <w:szCs w:val="22"/>
        </w:rPr>
        <w:t>. Er soll neugierig machen und zeigt: Diese Figuren waren keine starren Bilder, sondern handelnde Akteure in einer religiösen Inszenierung.«</w:t>
      </w:r>
    </w:p>
    <w:p w14:paraId="131CA3EC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>Rief ergänzt:</w:t>
      </w:r>
    </w:p>
    <w:p w14:paraId="4CC953C0" w14:textId="1A05EA83" w:rsidR="00D21DFA" w:rsidRPr="00D21DFA" w:rsidRDefault="00D21DFA" w:rsidP="00D21DFA">
      <w:pPr>
        <w:pStyle w:val="StandardWeb"/>
        <w:rPr>
          <w:rFonts w:ascii="Avenir" w:hAnsi="Avenir"/>
          <w:i/>
          <w:iCs/>
          <w:sz w:val="22"/>
          <w:szCs w:val="22"/>
        </w:rPr>
      </w:pPr>
      <w:r w:rsidRPr="00D21DFA">
        <w:rPr>
          <w:rFonts w:ascii="Avenir" w:hAnsi="Avenir"/>
          <w:i/>
          <w:iCs/>
          <w:sz w:val="22"/>
          <w:szCs w:val="22"/>
        </w:rPr>
        <w:t xml:space="preserve">»Wir wollten einen Titel finden, der Interesse weckt, ohne die Objekte zu banalisieren.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i/>
          <w:iCs/>
          <w:sz w:val="22"/>
          <w:szCs w:val="22"/>
        </w:rPr>
        <w:t xml:space="preserve"> verbindet auf augenzwinkernde Weise Spiritualität und Bewegung – genau darum geht es hier.«</w:t>
      </w:r>
    </w:p>
    <w:p w14:paraId="629EBD5F" w14:textId="35BCA381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Die Ausstellung schlägt den Bogen vom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Spätmittelalter</w:t>
      </w:r>
      <w:r w:rsidRPr="00D21DFA">
        <w:rPr>
          <w:rFonts w:ascii="Avenir" w:hAnsi="Avenir"/>
          <w:sz w:val="22"/>
          <w:szCs w:val="22"/>
        </w:rPr>
        <w:t xml:space="preserve"> über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Fortsetzungen im 19. Jahrhundert</w:t>
      </w:r>
      <w:r w:rsidRPr="00D21DFA">
        <w:rPr>
          <w:rFonts w:ascii="Avenir" w:hAnsi="Avenir"/>
          <w:sz w:val="22"/>
          <w:szCs w:val="22"/>
        </w:rPr>
        <w:t xml:space="preserve"> bis hin zu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lebendigen Traditionen der Gegenwart</w:t>
      </w:r>
      <w:r w:rsidRPr="00D21DFA">
        <w:rPr>
          <w:rFonts w:ascii="Avenir" w:hAnsi="Avenir"/>
          <w:sz w:val="22"/>
          <w:szCs w:val="22"/>
        </w:rPr>
        <w:t xml:space="preserve">, etwa dem </w:t>
      </w:r>
      <w:r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»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Streuengelchen</w:t>
      </w:r>
      <w:r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«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-Brauch</w:t>
      </w:r>
      <w:r w:rsidRPr="00D21DFA">
        <w:rPr>
          <w:rFonts w:ascii="Avenir" w:hAnsi="Avenir"/>
          <w:sz w:val="22"/>
          <w:szCs w:val="22"/>
        </w:rPr>
        <w:t xml:space="preserve"> in Aachen, bei dem eine bewegliche Engelsfigur Süßigkeiten auf die Straße regnen lässt.</w:t>
      </w:r>
    </w:p>
    <w:p w14:paraId="1EF013E2" w14:textId="0A097B3E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i/>
          <w:iCs/>
          <w:sz w:val="22"/>
          <w:szCs w:val="22"/>
        </w:rPr>
        <w:t>»Auch heute suchen Menschen nach Momenten, in denen Dinge lebendig werden – ob in digitalen Welten, in immersiven Kunstinstallationen oder in religiösen Ritualen«,</w:t>
      </w:r>
      <w:r w:rsidRPr="00D21DFA">
        <w:rPr>
          <w:rFonts w:ascii="Avenir" w:hAnsi="Avenir"/>
          <w:sz w:val="22"/>
          <w:szCs w:val="22"/>
        </w:rPr>
        <w:t xml:space="preserve"> so Borchert. </w:t>
      </w:r>
      <w:r w:rsidRPr="00D21DFA">
        <w:rPr>
          <w:rFonts w:ascii="Avenir" w:hAnsi="Avenir"/>
          <w:i/>
          <w:iCs/>
          <w:sz w:val="22"/>
          <w:szCs w:val="22"/>
        </w:rPr>
        <w:t>»Das Bedürfnis nach Präsenz, Berührung und Staunen ist zeitlos.«</w:t>
      </w:r>
    </w:p>
    <w:p w14:paraId="7B378BC1" w14:textId="77777777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t>Für wen ist die Ausstellung gedacht?</w:t>
      </w:r>
    </w:p>
    <w:p w14:paraId="1CF97655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sz w:val="22"/>
          <w:szCs w:val="22"/>
        </w:rPr>
        <w:t xml:space="preserve"> richtet sich an ein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breites Publikum</w:t>
      </w:r>
      <w:r w:rsidRPr="00D21DFA">
        <w:rPr>
          <w:rFonts w:ascii="Avenir" w:hAnsi="Avenir"/>
          <w:sz w:val="22"/>
          <w:szCs w:val="22"/>
        </w:rPr>
        <w:t xml:space="preserve"> – nicht nur an Fachleute. Der alltagsnahe, sinnliche Zugang eröffnet neue Wege zur kulturellen Teilhabe – unabhängig von Alter, Herkunft, Religion oder Vorwissen.</w:t>
      </w:r>
    </w:p>
    <w:p w14:paraId="293D613D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Familien, Jugendliche, Schulklassen</w:t>
      </w:r>
      <w:r w:rsidRPr="00D21DFA">
        <w:rPr>
          <w:rFonts w:ascii="Avenir" w:hAnsi="Avenir"/>
          <w:sz w:val="22"/>
          <w:szCs w:val="22"/>
        </w:rPr>
        <w:t xml:space="preserve"> und andere Besucher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 xml:space="preserve">innen finden hier einen spannenden Zugang zur Welt des Mittelalters. Zugleich bietet die Schau mit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neuen Forschungserkenntnissen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 xml:space="preserve"> und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selten gezeigten Exponaten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 xml:space="preserve"> einen Mehrwert für Expert</w:t>
      </w:r>
      <w:r w:rsidRPr="00D21DFA">
        <w:rPr>
          <w:rFonts w:ascii="Avenir" w:hAnsi="Avenir"/>
          <w:sz w:val="22"/>
          <w:szCs w:val="22"/>
        </w:rPr>
        <w:t>innen.</w:t>
      </w:r>
    </w:p>
    <w:p w14:paraId="69928CBE" w14:textId="77777777" w:rsidR="00D21DFA" w:rsidRDefault="00D21DFA">
      <w:pPr>
        <w:spacing w:after="0" w:line="240" w:lineRule="auto"/>
        <w:rPr>
          <w:rStyle w:val="Fett"/>
          <w:rFonts w:ascii="Avenir Next" w:eastAsiaTheme="majorEastAsia" w:hAnsi="Avenir Next" w:cstheme="majorBidi"/>
          <w:color w:val="0F4761" w:themeColor="accent1" w:themeShade="BF"/>
          <w:sz w:val="28"/>
          <w:szCs w:val="28"/>
        </w:rPr>
      </w:pPr>
      <w:r>
        <w:rPr>
          <w:rStyle w:val="Fett"/>
          <w:rFonts w:ascii="Avenir Next" w:hAnsi="Avenir Next"/>
        </w:rPr>
        <w:br w:type="page"/>
      </w:r>
    </w:p>
    <w:p w14:paraId="44057DC5" w14:textId="3CD2444A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lastRenderedPageBreak/>
        <w:t>Rahmenprogramm und Förderung</w:t>
      </w:r>
    </w:p>
    <w:p w14:paraId="21B6CE7A" w14:textId="77777777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Begleitend zur Ausstellung findet ein vielfältiges Programm mit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Führungen, Workshops, Vorträgen und Performances</w:t>
      </w:r>
      <w:r w:rsidRPr="00D21DFA">
        <w:rPr>
          <w:rFonts w:ascii="Avenir" w:hAnsi="Avenir"/>
          <w:sz w:val="22"/>
          <w:szCs w:val="22"/>
        </w:rPr>
        <w:t xml:space="preserve"> statt.</w:t>
      </w:r>
    </w:p>
    <w:p w14:paraId="6AF92783" w14:textId="77777777" w:rsid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Fonts w:ascii="Avenir" w:hAnsi="Avenir"/>
          <w:sz w:val="22"/>
          <w:szCs w:val="22"/>
        </w:rPr>
        <w:t xml:space="preserve">Gefördert wird </w:t>
      </w:r>
      <w:r w:rsidRPr="00D21DFA">
        <w:rPr>
          <w:rStyle w:val="Hervorhebung"/>
          <w:rFonts w:ascii="Avenir" w:eastAsiaTheme="majorEastAsia" w:hAnsi="Avenir"/>
          <w:i w:val="0"/>
          <w:iCs w:val="0"/>
          <w:sz w:val="22"/>
          <w:szCs w:val="22"/>
        </w:rPr>
        <w:t>PRAYMOBIL</w:t>
      </w:r>
      <w:r w:rsidRPr="00D21DFA">
        <w:rPr>
          <w:rFonts w:ascii="Avenir" w:hAnsi="Avenir"/>
          <w:sz w:val="22"/>
          <w:szCs w:val="22"/>
        </w:rPr>
        <w:t xml:space="preserve"> durch:</w:t>
      </w:r>
    </w:p>
    <w:p w14:paraId="642DC634" w14:textId="655181BA" w:rsidR="00D21DFA" w:rsidRPr="00D21DFA" w:rsidRDefault="00D21DFA" w:rsidP="00D21DFA">
      <w:pPr>
        <w:pStyle w:val="StandardWeb"/>
        <w:rPr>
          <w:rFonts w:ascii="Avenir" w:hAnsi="Avenir"/>
          <w:sz w:val="22"/>
          <w:szCs w:val="22"/>
        </w:rPr>
      </w:pP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Peter und Irene Ludwig Stiftung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Ernst von Siemens Kunststiftung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Kunststiftung NRW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Kulturstiftung der Länder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Ministerium für Kultur und Wissenschaft des Landes NRW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Landschaftsverband Rheinland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Renate König-Stiftung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Sparkassen-Kulturstiftung Rheinland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Jugend- und Kulturstiftung der Sparkasse Aachen</w:t>
      </w:r>
      <w:r w:rsidRPr="00D21DFA">
        <w:rPr>
          <w:rFonts w:ascii="Avenir" w:hAnsi="Avenir"/>
          <w:sz w:val="22"/>
          <w:szCs w:val="22"/>
        </w:rPr>
        <w:t xml:space="preserve">,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Sparkasse Aachen</w:t>
      </w:r>
      <w:r w:rsidRPr="00D21DFA">
        <w:rPr>
          <w:rFonts w:ascii="Avenir" w:hAnsi="Avenir"/>
          <w:sz w:val="22"/>
          <w:szCs w:val="22"/>
        </w:rPr>
        <w:t xml:space="preserve"> und den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Museumsverein Aachen e.</w:t>
      </w:r>
      <w:r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 xml:space="preserve"> </w:t>
      </w: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V.</w:t>
      </w:r>
    </w:p>
    <w:p w14:paraId="4B19A83C" w14:textId="77777777" w:rsidR="00D21DFA" w:rsidRPr="003D36D7" w:rsidRDefault="00D21DFA" w:rsidP="00D21DFA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3D36D7">
        <w:rPr>
          <w:rStyle w:val="Fett"/>
          <w:rFonts w:ascii="Avenir Next" w:hAnsi="Avenir Next"/>
          <w:color w:val="000000" w:themeColor="text1"/>
          <w:sz w:val="22"/>
          <w:szCs w:val="22"/>
        </w:rPr>
        <w:t>Wichtige Termine</w:t>
      </w:r>
    </w:p>
    <w:p w14:paraId="3257DC7D" w14:textId="77777777" w:rsidR="00D21DFA" w:rsidRPr="00D21DFA" w:rsidRDefault="00D21DFA" w:rsidP="003D36D7">
      <w:pPr>
        <w:pStyle w:val="StandardWeb"/>
        <w:numPr>
          <w:ilvl w:val="0"/>
          <w:numId w:val="4"/>
        </w:numPr>
        <w:rPr>
          <w:rFonts w:ascii="Avenir" w:hAnsi="Avenir"/>
          <w:sz w:val="22"/>
          <w:szCs w:val="22"/>
        </w:rPr>
      </w:pP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Pressekonferenz &amp; Vorabbesichtigung:</w:t>
      </w:r>
      <w:r w:rsidRPr="00D21DFA">
        <w:rPr>
          <w:rFonts w:ascii="Avenir" w:hAnsi="Avenir"/>
          <w:sz w:val="22"/>
          <w:szCs w:val="22"/>
        </w:rPr>
        <w:t xml:space="preserve"> Donnerstag, 27. November 2025, 12:30 Uhr</w:t>
      </w:r>
    </w:p>
    <w:p w14:paraId="6FB28751" w14:textId="77777777" w:rsidR="00D21DFA" w:rsidRPr="00D21DFA" w:rsidRDefault="00D21DFA" w:rsidP="003D36D7">
      <w:pPr>
        <w:pStyle w:val="StandardWeb"/>
        <w:numPr>
          <w:ilvl w:val="0"/>
          <w:numId w:val="4"/>
        </w:numPr>
        <w:rPr>
          <w:rFonts w:ascii="Avenir" w:hAnsi="Avenir"/>
          <w:sz w:val="22"/>
          <w:szCs w:val="22"/>
        </w:rPr>
      </w:pP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Eröffnung:</w:t>
      </w:r>
      <w:r w:rsidRPr="00D21DFA">
        <w:rPr>
          <w:rFonts w:ascii="Avenir" w:hAnsi="Avenir"/>
          <w:sz w:val="22"/>
          <w:szCs w:val="22"/>
        </w:rPr>
        <w:t xml:space="preserve"> Freitag, 28. November 2025, 18:00 Uhr – Kirche St. Adalbert</w:t>
      </w:r>
    </w:p>
    <w:p w14:paraId="2EFE1B73" w14:textId="77777777" w:rsidR="00D21DFA" w:rsidRPr="00D21DFA" w:rsidRDefault="00D21DFA" w:rsidP="003D36D7">
      <w:pPr>
        <w:pStyle w:val="StandardWeb"/>
        <w:numPr>
          <w:ilvl w:val="0"/>
          <w:numId w:val="4"/>
        </w:numPr>
        <w:rPr>
          <w:rFonts w:ascii="Avenir" w:hAnsi="Avenir"/>
          <w:sz w:val="22"/>
          <w:szCs w:val="22"/>
        </w:rPr>
      </w:pPr>
      <w:r w:rsidRPr="00D21DFA">
        <w:rPr>
          <w:rStyle w:val="Fett"/>
          <w:rFonts w:ascii="Avenir" w:eastAsiaTheme="majorEastAsia" w:hAnsi="Avenir"/>
          <w:b w:val="0"/>
          <w:bCs w:val="0"/>
          <w:sz w:val="22"/>
          <w:szCs w:val="22"/>
        </w:rPr>
        <w:t>Ab 19:00 Uhr:</w:t>
      </w:r>
      <w:r w:rsidRPr="00D21DFA">
        <w:rPr>
          <w:rFonts w:ascii="Avenir" w:hAnsi="Avenir"/>
          <w:sz w:val="22"/>
          <w:szCs w:val="22"/>
        </w:rPr>
        <w:t xml:space="preserve"> Ausstellungsbesichtigung im Suermondt-Ludwig-Museum</w:t>
      </w:r>
    </w:p>
    <w:p w14:paraId="43DE038B" w14:textId="77777777" w:rsidR="0094185D" w:rsidRPr="00E85F87" w:rsidRDefault="0094185D" w:rsidP="0094185D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E85F87">
        <w:rPr>
          <w:rStyle w:val="Fett"/>
          <w:rFonts w:ascii="Avenir Next" w:hAnsi="Avenir Next"/>
          <w:color w:val="000000" w:themeColor="text1"/>
          <w:sz w:val="22"/>
          <w:szCs w:val="22"/>
        </w:rPr>
        <w:t>Pressekontakt</w:t>
      </w:r>
    </w:p>
    <w:p w14:paraId="373AC496" w14:textId="77777777" w:rsidR="0094185D" w:rsidRPr="00E85F87" w:rsidRDefault="0094185D" w:rsidP="0094185D">
      <w:pPr>
        <w:pStyle w:val="StandardWeb"/>
        <w:rPr>
          <w:rFonts w:ascii="Avenir Next" w:hAnsi="Avenir Next"/>
          <w:sz w:val="22"/>
          <w:szCs w:val="22"/>
        </w:rPr>
      </w:pPr>
      <w:r w:rsidRPr="00E85F87">
        <w:rPr>
          <w:rFonts w:ascii="Avenir Next" w:hAnsi="Avenir Next"/>
          <w:sz w:val="22"/>
          <w:szCs w:val="22"/>
        </w:rPr>
        <w:t>Bitte wenden Sie sich bei Presseanfragen an die im Auftrag des Suermondt-Ludwig-Museums tätige Agentur:</w:t>
      </w:r>
    </w:p>
    <w:p w14:paraId="3C597993" w14:textId="77777777" w:rsidR="00E85F87" w:rsidRDefault="00E85F87" w:rsidP="00E85F87">
      <w:pPr>
        <w:pStyle w:val="StandardWeb"/>
        <w:spacing w:before="0" w:beforeAutospacing="0" w:after="0" w:afterAutospacing="0"/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</w:pP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HEINEKOMM</w:t>
      </w:r>
    </w:p>
    <w:p w14:paraId="157D4699" w14:textId="47221D29" w:rsidR="00E85F87" w:rsidRDefault="00E85F87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EREIGNIS </w:t>
      </w: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|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KOMMUNIKATION</w:t>
      </w:r>
    </w:p>
    <w:p w14:paraId="64948735" w14:textId="4E129526" w:rsidR="0094185D" w:rsidRPr="00E85F87" w:rsidRDefault="00E85F87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hyperlink r:id="rId7" w:history="1">
        <w:r w:rsidRPr="00E85F87">
          <w:rPr>
            <w:rStyle w:val="Hyperlink"/>
            <w:rFonts w:ascii="Avenir Next" w:hAnsi="Avenir Next"/>
            <w:sz w:val="22"/>
            <w:szCs w:val="22"/>
          </w:rPr>
          <w:t>heine@heinekomm.de</w:t>
        </w:r>
      </w:hyperlink>
    </w:p>
    <w:p w14:paraId="37A11DBD" w14:textId="2BA86253" w:rsidR="0094185D" w:rsidRPr="00E85F87" w:rsidRDefault="00E85F87" w:rsidP="00E85F87">
      <w:pPr>
        <w:pStyle w:val="StandardWeb"/>
        <w:tabs>
          <w:tab w:val="left" w:pos="993"/>
        </w:tabs>
        <w:spacing w:before="0" w:beforeAutospacing="0" w:after="0" w:afterAutospacing="0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Telefon:</w:t>
      </w:r>
      <w:r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+49 40 7675 26 26</w:t>
      </w:r>
    </w:p>
    <w:p w14:paraId="7D507169" w14:textId="6A401383" w:rsidR="0094185D" w:rsidRPr="00E85F87" w:rsidRDefault="00E85F87" w:rsidP="00E85F87">
      <w:pPr>
        <w:tabs>
          <w:tab w:val="left" w:pos="993"/>
        </w:tabs>
        <w:spacing w:after="12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Mobil:</w:t>
      </w:r>
      <w:r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+49 171 193 55 67</w:t>
      </w:r>
    </w:p>
    <w:p w14:paraId="5149FC57" w14:textId="160A36AA" w:rsidR="0094185D" w:rsidRPr="00E85F87" w:rsidRDefault="00E85F87" w:rsidP="000C6457">
      <w:pPr>
        <w:rPr>
          <w:rFonts w:ascii="Avenir Next" w:hAnsi="Avenir Next"/>
          <w:color w:val="000000" w:themeColor="text1"/>
          <w:sz w:val="22"/>
          <w:szCs w:val="22"/>
        </w:rPr>
      </w:pPr>
      <w:r w:rsidRPr="00E85F87">
        <w:rPr>
          <w:rFonts w:ascii="Avenir Next" w:hAnsi="Avenir Next"/>
          <w:color w:val="000000" w:themeColor="text1"/>
          <w:sz w:val="22"/>
          <w:szCs w:val="22"/>
        </w:rPr>
        <w:t>Bilder zur Ausstellung finden Sie auf unserer Downloadseite unter https://www.heinekomm.de/pressedownload/</w:t>
      </w:r>
    </w:p>
    <w:sectPr w:rsidR="0094185D" w:rsidRPr="00E85F87" w:rsidSect="00E85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3474" w14:textId="77777777" w:rsidR="00EF5EB2" w:rsidRDefault="00EF5EB2" w:rsidP="00E85F87">
      <w:pPr>
        <w:spacing w:after="0" w:line="240" w:lineRule="auto"/>
      </w:pPr>
      <w:r>
        <w:separator/>
      </w:r>
    </w:p>
  </w:endnote>
  <w:endnote w:type="continuationSeparator" w:id="0">
    <w:p w14:paraId="31C36671" w14:textId="77777777" w:rsidR="00EF5EB2" w:rsidRDefault="00EF5EB2" w:rsidP="00E8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Roman">
    <w:altName w:val="Times New Roman"/>
    <w:panose1 w:val="00000500000000020000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7907" w14:textId="77777777" w:rsidR="00C51A24" w:rsidRDefault="00C51A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07C6" w14:textId="679C85D8" w:rsidR="00E85F87" w:rsidRDefault="00E85F87" w:rsidP="00E85F87">
    <w:pPr>
      <w:pStyle w:val="Fuzeile"/>
      <w:ind w:left="-28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8C54" w14:textId="77777777" w:rsidR="00C51A24" w:rsidRDefault="00C51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90A1" w14:textId="77777777" w:rsidR="00EF5EB2" w:rsidRDefault="00EF5EB2" w:rsidP="00E85F87">
      <w:pPr>
        <w:spacing w:after="0" w:line="240" w:lineRule="auto"/>
      </w:pPr>
      <w:r>
        <w:separator/>
      </w:r>
    </w:p>
  </w:footnote>
  <w:footnote w:type="continuationSeparator" w:id="0">
    <w:p w14:paraId="562FC579" w14:textId="77777777" w:rsidR="00EF5EB2" w:rsidRDefault="00EF5EB2" w:rsidP="00E8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09A" w14:textId="77777777" w:rsidR="00C51A24" w:rsidRDefault="00C51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6F9" w14:textId="33749134" w:rsidR="00E85F87" w:rsidRDefault="00E85F87" w:rsidP="00E85F87">
    <w:pPr>
      <w:pStyle w:val="Kopfzeile"/>
      <w:jc w:val="center"/>
    </w:pPr>
    <w:r>
      <w:rPr>
        <w:noProof/>
        <w14:ligatures w14:val="standardContextual"/>
      </w:rPr>
      <w:drawing>
        <wp:inline distT="0" distB="0" distL="0" distR="0" wp14:anchorId="19F35867" wp14:editId="513697F7">
          <wp:extent cx="1879600" cy="381000"/>
          <wp:effectExtent l="0" t="0" r="0" b="0"/>
          <wp:docPr id="4548871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87111" name="Grafik 4548871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BE51" w14:textId="77777777" w:rsidR="00C51A24" w:rsidRDefault="00C51A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476"/>
    <w:multiLevelType w:val="hybridMultilevel"/>
    <w:tmpl w:val="630072EA"/>
    <w:numStyleLink w:val="Punkt"/>
  </w:abstractNum>
  <w:abstractNum w:abstractNumId="1" w15:restartNumberingAfterBreak="0">
    <w:nsid w:val="18B348CA"/>
    <w:multiLevelType w:val="multilevel"/>
    <w:tmpl w:val="59F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83429"/>
    <w:multiLevelType w:val="multilevel"/>
    <w:tmpl w:val="BC8831D4"/>
    <w:lvl w:ilvl="0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305B9"/>
    <w:multiLevelType w:val="hybridMultilevel"/>
    <w:tmpl w:val="630072EA"/>
    <w:styleLink w:val="Punkt"/>
    <w:lvl w:ilvl="0" w:tplc="12C46F9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CCDE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572B75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13A066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DE07FC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914D0F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B26D6C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CC034C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7EAF0A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26306773">
    <w:abstractNumId w:val="3"/>
  </w:num>
  <w:num w:numId="2" w16cid:durableId="1854026387">
    <w:abstractNumId w:val="0"/>
  </w:num>
  <w:num w:numId="3" w16cid:durableId="2050884172">
    <w:abstractNumId w:val="1"/>
  </w:num>
  <w:num w:numId="4" w16cid:durableId="113078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57"/>
    <w:rsid w:val="000C6457"/>
    <w:rsid w:val="00120075"/>
    <w:rsid w:val="00256AC6"/>
    <w:rsid w:val="002C5B49"/>
    <w:rsid w:val="00315B51"/>
    <w:rsid w:val="003D36D7"/>
    <w:rsid w:val="00580FB2"/>
    <w:rsid w:val="005C1BA6"/>
    <w:rsid w:val="006153A3"/>
    <w:rsid w:val="006478FC"/>
    <w:rsid w:val="008562A9"/>
    <w:rsid w:val="0094185D"/>
    <w:rsid w:val="00A82B25"/>
    <w:rsid w:val="00AB341F"/>
    <w:rsid w:val="00C51A24"/>
    <w:rsid w:val="00D21DFA"/>
    <w:rsid w:val="00E85F87"/>
    <w:rsid w:val="00EF5EB2"/>
    <w:rsid w:val="00F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56628"/>
  <w15:chartTrackingRefBased/>
  <w15:docId w15:val="{E99148C9-E4A1-834B-9728-86C776A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457"/>
    <w:pPr>
      <w:spacing w:after="160" w:line="259" w:lineRule="auto"/>
    </w:pPr>
    <w:rPr>
      <w:rFonts w:ascii="Arial Narrow" w:hAnsi="Arial Narrow"/>
      <w:kern w:val="0"/>
      <w:sz w:val="23"/>
      <w:szCs w:val="2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6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6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6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6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64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4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64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64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64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6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6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64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64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64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64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6457"/>
    <w:rPr>
      <w:b/>
      <w:bCs/>
      <w:smallCaps/>
      <w:color w:val="0F4761" w:themeColor="accent1" w:themeShade="BF"/>
      <w:spacing w:val="5"/>
    </w:rPr>
  </w:style>
  <w:style w:type="numbering" w:customStyle="1" w:styleId="Punkt">
    <w:name w:val="Punkt"/>
    <w:rsid w:val="000C6457"/>
    <w:pPr>
      <w:numPr>
        <w:numId w:val="1"/>
      </w:numPr>
    </w:pPr>
  </w:style>
  <w:style w:type="character" w:styleId="Fett">
    <w:name w:val="Strong"/>
    <w:basedOn w:val="Absatz-Standardschriftart"/>
    <w:uiPriority w:val="22"/>
    <w:qFormat/>
    <w:rsid w:val="0094185D"/>
    <w:rPr>
      <w:b/>
      <w:bCs/>
    </w:rPr>
  </w:style>
  <w:style w:type="paragraph" w:styleId="StandardWeb">
    <w:name w:val="Normal (Web)"/>
    <w:basedOn w:val="Standard"/>
    <w:uiPriority w:val="99"/>
    <w:unhideWhenUsed/>
    <w:rsid w:val="009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4185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185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ne@heinekomm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Heine-Schumann</dc:creator>
  <cp:keywords/>
  <dc:description/>
  <cp:lastModifiedBy>Barbara Heine-Schumann</cp:lastModifiedBy>
  <cp:revision>5</cp:revision>
  <dcterms:created xsi:type="dcterms:W3CDTF">2025-11-05T19:58:00Z</dcterms:created>
  <dcterms:modified xsi:type="dcterms:W3CDTF">2025-11-05T20:38:00Z</dcterms:modified>
</cp:coreProperties>
</file>